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82" w:rsidRPr="00874082" w:rsidRDefault="00C20C2B" w:rsidP="00874082">
      <w:pPr>
        <w:jc w:val="center"/>
        <w:rPr>
          <w:b/>
          <w:u w:val="single"/>
        </w:rPr>
      </w:pPr>
      <w:r w:rsidRPr="00874082">
        <w:rPr>
          <w:b/>
          <w:u w:val="single"/>
        </w:rPr>
        <w:t>Stone Town Council</w:t>
      </w:r>
    </w:p>
    <w:p w:rsidR="00C20C2B" w:rsidRPr="00874082" w:rsidRDefault="00C23D73" w:rsidP="00874082">
      <w:pPr>
        <w:jc w:val="center"/>
        <w:rPr>
          <w:b/>
          <w:u w:val="single"/>
        </w:rPr>
      </w:pPr>
      <w:r>
        <w:rPr>
          <w:b/>
          <w:u w:val="single"/>
        </w:rPr>
        <w:t>13</w:t>
      </w:r>
      <w:r w:rsidR="002C0583">
        <w:rPr>
          <w:b/>
          <w:u w:val="single"/>
        </w:rPr>
        <w:t xml:space="preserve"> February</w:t>
      </w:r>
      <w:r>
        <w:rPr>
          <w:b/>
          <w:u w:val="single"/>
        </w:rPr>
        <w:t xml:space="preserve"> 2014</w:t>
      </w:r>
    </w:p>
    <w:p w:rsidR="00C20C2B" w:rsidRPr="00874082" w:rsidRDefault="002C0583" w:rsidP="00C20C2B">
      <w:pPr>
        <w:jc w:val="center"/>
        <w:rPr>
          <w:b/>
          <w:u w:val="single"/>
        </w:rPr>
      </w:pPr>
      <w:r>
        <w:rPr>
          <w:b/>
          <w:u w:val="single"/>
        </w:rPr>
        <w:t xml:space="preserve">Town Council </w:t>
      </w:r>
      <w:r w:rsidR="00C23D73">
        <w:rPr>
          <w:b/>
          <w:u w:val="single"/>
        </w:rPr>
        <w:t>Budget 2014-15 to 2016-17</w:t>
      </w:r>
    </w:p>
    <w:p w:rsidR="00874082" w:rsidRPr="00874082" w:rsidRDefault="00874082" w:rsidP="00C20C2B">
      <w:pPr>
        <w:jc w:val="center"/>
        <w:rPr>
          <w:b/>
          <w:u w:val="single"/>
        </w:rPr>
      </w:pPr>
      <w:r w:rsidRPr="00874082">
        <w:rPr>
          <w:b/>
          <w:u w:val="single"/>
        </w:rPr>
        <w:t>Report of Town Clerk</w:t>
      </w:r>
    </w:p>
    <w:p w:rsidR="00C20C2B" w:rsidRPr="00874082" w:rsidRDefault="00C20C2B">
      <w:pPr>
        <w:rPr>
          <w:b/>
          <w:u w:val="single"/>
        </w:rPr>
      </w:pPr>
      <w:r w:rsidRPr="00874082">
        <w:rPr>
          <w:b/>
          <w:u w:val="single"/>
        </w:rPr>
        <w:t>Introduction</w:t>
      </w:r>
    </w:p>
    <w:p w:rsidR="00C20C2B" w:rsidRDefault="00C20C2B" w:rsidP="00C20C2B">
      <w:pPr>
        <w:pStyle w:val="ListParagraph"/>
        <w:numPr>
          <w:ilvl w:val="0"/>
          <w:numId w:val="1"/>
        </w:numPr>
      </w:pPr>
      <w:r>
        <w:t>This rep</w:t>
      </w:r>
      <w:r w:rsidR="00946CC1">
        <w:t>ort</w:t>
      </w:r>
      <w:r>
        <w:t xml:space="preserve"> considers the </w:t>
      </w:r>
      <w:r w:rsidR="0010030C">
        <w:t xml:space="preserve">setting of the Town Council’s </w:t>
      </w:r>
      <w:r w:rsidR="00946CC1">
        <w:t>Budget</w:t>
      </w:r>
      <w:r w:rsidR="00C23D73">
        <w:t xml:space="preserve"> for 2014-15</w:t>
      </w:r>
      <w:r w:rsidR="0010030C">
        <w:t>, with indicative figures for the following two years.</w:t>
      </w:r>
    </w:p>
    <w:p w:rsidR="00C20C2B" w:rsidRPr="00485A84" w:rsidRDefault="00C20C2B" w:rsidP="00C20C2B">
      <w:pPr>
        <w:rPr>
          <w:b/>
        </w:rPr>
      </w:pPr>
      <w:r w:rsidRPr="00874082">
        <w:rPr>
          <w:b/>
          <w:u w:val="single"/>
        </w:rPr>
        <w:t>Background</w:t>
      </w:r>
    </w:p>
    <w:p w:rsidR="0010030C" w:rsidRPr="0010030C" w:rsidRDefault="00946CC1" w:rsidP="0010030C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u w:val="single"/>
        </w:rPr>
      </w:pPr>
      <w:r>
        <w:t>At a series of me</w:t>
      </w:r>
      <w:r w:rsidR="00C23D73">
        <w:t>etings during January 2014</w:t>
      </w:r>
      <w:r w:rsidR="0010030C">
        <w:t>, the</w:t>
      </w:r>
      <w:r>
        <w:t xml:space="preserve"> </w:t>
      </w:r>
      <w:r w:rsidR="0010030C">
        <w:t xml:space="preserve">General Purposes </w:t>
      </w:r>
      <w:r>
        <w:t>Commit</w:t>
      </w:r>
      <w:r w:rsidR="0010030C">
        <w:t xml:space="preserve">tee and its Sub-Committees </w:t>
      </w:r>
      <w:r>
        <w:t xml:space="preserve">considered </w:t>
      </w:r>
      <w:r w:rsidR="00C23D73">
        <w:t>their potential budgets for 2014-15 to 2016-17</w:t>
      </w:r>
      <w:r>
        <w:t xml:space="preserve">. </w:t>
      </w:r>
      <w:r w:rsidR="0010030C">
        <w:t xml:space="preserve">As a result of this consideration, the </w:t>
      </w:r>
      <w:r w:rsidR="00C23D73">
        <w:t>General Purposes Committee on 23 January 2014</w:t>
      </w:r>
      <w:r w:rsidR="0010030C">
        <w:t xml:space="preserve"> recommended a budget for consideration by the Council.</w:t>
      </w:r>
    </w:p>
    <w:p w:rsidR="0010030C" w:rsidRPr="00875B35" w:rsidRDefault="0010030C" w:rsidP="0010030C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u w:val="single"/>
        </w:rPr>
      </w:pPr>
      <w:bookmarkStart w:id="0" w:name="_Ref378850918"/>
      <w:r>
        <w:t>The budget proposed by the General Purposes Committee is set out at Appendix A.</w:t>
      </w:r>
      <w:r w:rsidR="00875B35">
        <w:t xml:space="preserve">  It can be summarised as follows:</w:t>
      </w:r>
      <w:bookmarkEnd w:id="0"/>
    </w:p>
    <w:tbl>
      <w:tblPr>
        <w:tblW w:w="10220" w:type="dxa"/>
        <w:tblLook w:val="04A0" w:firstRow="1" w:lastRow="0" w:firstColumn="1" w:lastColumn="0" w:noHBand="0" w:noVBand="1"/>
      </w:tblPr>
      <w:tblGrid>
        <w:gridCol w:w="1060"/>
        <w:gridCol w:w="240"/>
        <w:gridCol w:w="3940"/>
        <w:gridCol w:w="1060"/>
        <w:gridCol w:w="989"/>
        <w:gridCol w:w="980"/>
        <w:gridCol w:w="980"/>
        <w:gridCol w:w="980"/>
      </w:tblGrid>
      <w:tr w:rsidR="00D142B9" w:rsidRPr="00D142B9" w:rsidTr="00D142B9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Actual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Forecast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Budget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Budget</w:t>
            </w:r>
          </w:p>
        </w:tc>
      </w:tr>
      <w:tr w:rsidR="00D142B9" w:rsidRPr="00D142B9" w:rsidTr="00D142B9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2012-13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2013-14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2013-14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2014-15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2015-16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2016-17</w:t>
            </w:r>
          </w:p>
        </w:tc>
      </w:tr>
      <w:tr w:rsidR="00D142B9" w:rsidRPr="00D142B9" w:rsidTr="00D142B9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£     </w:t>
            </w:r>
          </w:p>
        </w:tc>
      </w:tr>
      <w:tr w:rsidR="00D142B9" w:rsidRPr="00D142B9" w:rsidTr="00D142B9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27,607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Estates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40,850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42,500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32,200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32,800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33,800</w:t>
            </w:r>
          </w:p>
        </w:tc>
      </w:tr>
      <w:tr w:rsidR="00D142B9" w:rsidRPr="00D142B9" w:rsidTr="00D142B9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13,315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Environment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15,490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16,000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12,000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11,300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11,600</w:t>
            </w: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24,108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Tourism &amp; Town Promotion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29,200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25,300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31,300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26,100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26,800</w:t>
            </w: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119,061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General Purposes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160,746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150,500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160,400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183,600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169,500</w:t>
            </w: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42B9" w:rsidRPr="00D142B9" w:rsidTr="00D142B9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184,091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TOTAL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246,286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234,300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235,900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253,800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241,700</w:t>
            </w:r>
          </w:p>
        </w:tc>
      </w:tr>
      <w:tr w:rsidR="00D142B9" w:rsidRPr="00D142B9" w:rsidTr="00D142B9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Planned Contribution to (from) Balances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1,980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-14,033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42B9" w:rsidRPr="00D142B9" w:rsidTr="00D142B9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Precept Required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237,880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239,767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241,771</w:t>
            </w:r>
          </w:p>
        </w:tc>
      </w:tr>
      <w:tr w:rsidR="00D142B9" w:rsidRPr="00D142B9" w:rsidTr="00D142B9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42B9" w:rsidRPr="00D142B9" w:rsidTr="00D142B9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Band D Council Tax Equivalent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£40.09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£40.09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2B9" w:rsidRPr="00D142B9" w:rsidRDefault="00D142B9" w:rsidP="00D142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142B9">
              <w:rPr>
                <w:rFonts w:ascii="Calibri" w:eastAsia="Times New Roman" w:hAnsi="Calibri" w:cs="Times New Roman"/>
                <w:color w:val="000000"/>
                <w:lang w:eastAsia="en-GB"/>
              </w:rPr>
              <w:t>£40.09</w:t>
            </w:r>
          </w:p>
        </w:tc>
      </w:tr>
    </w:tbl>
    <w:p w:rsidR="007E15AB" w:rsidRPr="007E15AB" w:rsidRDefault="007E15AB" w:rsidP="0010030C">
      <w:pPr>
        <w:rPr>
          <w:b/>
          <w:u w:val="single"/>
        </w:rPr>
      </w:pPr>
    </w:p>
    <w:p w:rsidR="00C20C2B" w:rsidRDefault="00875B35" w:rsidP="007E15AB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The Council is not required to accept the above budget, </w:t>
      </w:r>
      <w:r w:rsidR="00C24C0F">
        <w:t>and is free to set the Council T</w:t>
      </w:r>
      <w:r>
        <w:t>ax at whatever level it thinks appropriate.  The rest of this report does, however, assume the acceptance of the proposed budget</w:t>
      </w:r>
      <w:r w:rsidR="00C865CB">
        <w:t>, and a number of the comments made below may need to be reconsidered if the budget changes</w:t>
      </w:r>
      <w:r>
        <w:t>.</w:t>
      </w:r>
    </w:p>
    <w:p w:rsidR="0020496A" w:rsidRPr="0020496A" w:rsidRDefault="00C865CB" w:rsidP="0020496A">
      <w:pPr>
        <w:keepNext/>
        <w:rPr>
          <w:b/>
          <w:u w:val="single"/>
        </w:rPr>
      </w:pPr>
      <w:r w:rsidRPr="00C865CB">
        <w:rPr>
          <w:b/>
          <w:u w:val="single"/>
        </w:rPr>
        <w:lastRenderedPageBreak/>
        <w:t>Robustness of Budget</w:t>
      </w:r>
    </w:p>
    <w:p w:rsidR="0020496A" w:rsidRDefault="0020496A" w:rsidP="0020496A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t>In setting its budget and precept, the Council must determine:</w:t>
      </w:r>
    </w:p>
    <w:p w:rsidR="0020496A" w:rsidRDefault="0020496A" w:rsidP="0020496A">
      <w:pPr>
        <w:pStyle w:val="ListParagraph"/>
        <w:numPr>
          <w:ilvl w:val="0"/>
          <w:numId w:val="4"/>
        </w:numPr>
      </w:pPr>
      <w:r>
        <w:t>The estimated expenditure for the year</w:t>
      </w:r>
      <w:r w:rsidR="00827C22">
        <w:t>.</w:t>
      </w:r>
    </w:p>
    <w:p w:rsidR="0020496A" w:rsidRDefault="0020496A" w:rsidP="0020496A">
      <w:pPr>
        <w:pStyle w:val="ListParagraph"/>
        <w:numPr>
          <w:ilvl w:val="0"/>
          <w:numId w:val="4"/>
        </w:numPr>
      </w:pPr>
      <w:r>
        <w:t>Such allowances as it considers appropriate for contingencies</w:t>
      </w:r>
      <w:r w:rsidR="00827C22">
        <w:t>.</w:t>
      </w:r>
    </w:p>
    <w:p w:rsidR="0020496A" w:rsidRDefault="0020496A" w:rsidP="0020496A">
      <w:pPr>
        <w:pStyle w:val="ListParagraph"/>
        <w:numPr>
          <w:ilvl w:val="0"/>
          <w:numId w:val="4"/>
        </w:numPr>
      </w:pPr>
      <w:r>
        <w:t>Such financial reserves as the Council considers appropriate to raise in the year</w:t>
      </w:r>
      <w:r w:rsidR="00827C22">
        <w:t>.</w:t>
      </w:r>
    </w:p>
    <w:p w:rsidR="00F91585" w:rsidRDefault="0020496A" w:rsidP="00F91585">
      <w:pPr>
        <w:pStyle w:val="ListParagraph"/>
        <w:numPr>
          <w:ilvl w:val="0"/>
          <w:numId w:val="4"/>
        </w:numPr>
      </w:pPr>
      <w:r>
        <w:t>Such reserves as are sufficient to meet any revenue account deficit from any earlier year</w:t>
      </w:r>
      <w:r w:rsidR="00827C22">
        <w:t>.</w:t>
      </w:r>
      <w:r w:rsidR="00F91585">
        <w:br/>
      </w:r>
    </w:p>
    <w:p w:rsidR="0020496A" w:rsidRDefault="00F91585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These issues have been considered as part of the budget setting process so far, and have resulted in the proposed budget under consideration today.</w:t>
      </w:r>
    </w:p>
    <w:p w:rsidR="0020496A" w:rsidRDefault="0020496A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Clerk’s role, as Responsible Financial Officer, is to advise members on the robustness of their plans, and in particular the adequacy of their reserves to meet possible future issues.</w:t>
      </w:r>
    </w:p>
    <w:p w:rsidR="0020496A" w:rsidRDefault="00BC5E23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I confirm that I am able</w:t>
      </w:r>
      <w:r w:rsidR="0020496A">
        <w:t xml:space="preserve"> to advise members that the proposed budget </w:t>
      </w:r>
      <w:r w:rsidR="008475F3">
        <w:t>should be sufficient to meet the Coun</w:t>
      </w:r>
      <w:r w:rsidR="00D142B9">
        <w:t>cil’s expenditure plans for 2014-15</w:t>
      </w:r>
      <w:r w:rsidR="008475F3">
        <w:t>, as currently known.  The indic</w:t>
      </w:r>
      <w:r w:rsidR="00D142B9">
        <w:t>ative budgets for 2015-16 and 2016-17</w:t>
      </w:r>
      <w:r w:rsidR="008475F3">
        <w:t>, based on th</w:t>
      </w:r>
      <w:r w:rsidR="00D142B9">
        <w:t>e same Council Tax Level as 2014-15</w:t>
      </w:r>
      <w:r w:rsidR="008475F3">
        <w:t>, show that the Council’s current plans can be reasonably sustained into future years.</w:t>
      </w:r>
    </w:p>
    <w:p w:rsidR="00BC5E23" w:rsidRDefault="00BC5E23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Excluding the reserves earmarked for the Crown Wharf project and rollovers, the Council held balances of £119,135 at the beginning</w:t>
      </w:r>
      <w:r w:rsidR="003B1B58">
        <w:t xml:space="preserve"> of 2013-14.  These are forecast</w:t>
      </w:r>
      <w:r>
        <w:t xml:space="preserve"> to increase to</w:t>
      </w:r>
      <w:r w:rsidR="003B1B58">
        <w:t xml:space="preserve"> around</w:t>
      </w:r>
      <w:r>
        <w:t xml:space="preserve"> £</w:t>
      </w:r>
      <w:r w:rsidR="003B1B58">
        <w:t>138,692</w:t>
      </w:r>
      <w:r>
        <w:t xml:space="preserve"> by the end of the current year as follows: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</w:tblGrid>
      <w:tr w:rsidR="00D00F49" w:rsidRPr="00D00F49" w:rsidTr="00D00F49">
        <w:trPr>
          <w:jc w:val="center"/>
        </w:trPr>
        <w:tc>
          <w:tcPr>
            <w:tcW w:w="4395" w:type="dxa"/>
          </w:tcPr>
          <w:p w:rsidR="00D00F49" w:rsidRPr="00D00F49" w:rsidRDefault="00D00F49" w:rsidP="00D00F49">
            <w:pPr>
              <w:rPr>
                <w:b/>
              </w:rPr>
            </w:pPr>
          </w:p>
        </w:tc>
        <w:tc>
          <w:tcPr>
            <w:tcW w:w="992" w:type="dxa"/>
          </w:tcPr>
          <w:p w:rsidR="00D00F49" w:rsidRPr="00D00F49" w:rsidRDefault="00D00F49" w:rsidP="00D00F49">
            <w:pPr>
              <w:jc w:val="center"/>
              <w:rPr>
                <w:b/>
              </w:rPr>
            </w:pPr>
            <w:r w:rsidRPr="00D00F49">
              <w:rPr>
                <w:b/>
              </w:rPr>
              <w:t>£</w:t>
            </w: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>Opening Balances 1 April 2013</w:t>
            </w:r>
          </w:p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  <w:r>
              <w:t>119,135</w:t>
            </w: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/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 xml:space="preserve">     Planned Contribution to Balances</w:t>
            </w:r>
          </w:p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  <w:r>
              <w:t>+3,348</w:t>
            </w: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 xml:space="preserve">     Budget Correction re May 2011 Elections</w:t>
            </w:r>
          </w:p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  <w:r>
              <w:t>+5,324</w:t>
            </w: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 xml:space="preserve">     National Pay Award</w:t>
            </w:r>
          </w:p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  <w:r>
              <w:t>-1,100</w:t>
            </w:r>
          </w:p>
        </w:tc>
      </w:tr>
      <w:tr w:rsidR="00D00F49" w:rsidTr="00D00F49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 xml:space="preserve">     Forecast Underspending 2013-14</w:t>
            </w:r>
          </w:p>
        </w:tc>
        <w:tc>
          <w:tcPr>
            <w:tcW w:w="992" w:type="dxa"/>
          </w:tcPr>
          <w:p w:rsidR="00D00F49" w:rsidRDefault="00D00F49" w:rsidP="00D00F49">
            <w:pPr>
              <w:jc w:val="right"/>
            </w:pPr>
            <w:r>
              <w:t>+11,985</w:t>
            </w:r>
          </w:p>
        </w:tc>
      </w:tr>
      <w:tr w:rsidR="00D00F49" w:rsidTr="003B1B58">
        <w:trPr>
          <w:jc w:val="center"/>
        </w:trPr>
        <w:tc>
          <w:tcPr>
            <w:tcW w:w="4395" w:type="dxa"/>
          </w:tcPr>
          <w:p w:rsidR="00D00F49" w:rsidRDefault="00D00F49" w:rsidP="00D00F49"/>
        </w:tc>
        <w:tc>
          <w:tcPr>
            <w:tcW w:w="992" w:type="dxa"/>
            <w:tcBorders>
              <w:bottom w:val="single" w:sz="4" w:space="0" w:color="auto"/>
            </w:tcBorders>
          </w:tcPr>
          <w:p w:rsidR="00D00F49" w:rsidRDefault="00D00F49" w:rsidP="00D00F49">
            <w:pPr>
              <w:jc w:val="right"/>
            </w:pPr>
          </w:p>
        </w:tc>
      </w:tr>
      <w:tr w:rsidR="00D00F49" w:rsidTr="003B1B58">
        <w:trPr>
          <w:jc w:val="center"/>
        </w:trPr>
        <w:tc>
          <w:tcPr>
            <w:tcW w:w="4395" w:type="dxa"/>
          </w:tcPr>
          <w:p w:rsidR="00D00F49" w:rsidRDefault="00D00F49" w:rsidP="00D00F49">
            <w:r>
              <w:t>Forecast Balances 31 March 2014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D00F49" w:rsidRDefault="00D00F49" w:rsidP="00D00F49">
            <w:pPr>
              <w:jc w:val="right"/>
            </w:pPr>
            <w:r>
              <w:t>138,692</w:t>
            </w:r>
          </w:p>
        </w:tc>
      </w:tr>
    </w:tbl>
    <w:p w:rsidR="00D00F49" w:rsidRDefault="00D00F49" w:rsidP="00D00F49"/>
    <w:p w:rsidR="003B1B58" w:rsidRDefault="003B1B58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As can be seen from the table in paragraph </w:t>
      </w:r>
      <w:r>
        <w:fldChar w:fldCharType="begin"/>
      </w:r>
      <w:r>
        <w:instrText xml:space="preserve"> REF _Ref378850918 \r \h </w:instrText>
      </w:r>
      <w:r>
        <w:fldChar w:fldCharType="separate"/>
      </w:r>
      <w:r w:rsidR="00155D5B">
        <w:t>3</w:t>
      </w:r>
      <w:r>
        <w:fldChar w:fldCharType="end"/>
      </w:r>
      <w:r>
        <w:t xml:space="preserve"> above, the three year budget proposed by the General Purposes Committee would result in movements in these balances as follows: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701"/>
        <w:gridCol w:w="1559"/>
        <w:gridCol w:w="1327"/>
      </w:tblGrid>
      <w:tr w:rsidR="00517FC0" w:rsidRPr="003B1B58" w:rsidTr="00517FC0">
        <w:trPr>
          <w:jc w:val="center"/>
        </w:trPr>
        <w:tc>
          <w:tcPr>
            <w:tcW w:w="1691" w:type="dxa"/>
          </w:tcPr>
          <w:p w:rsidR="00517FC0" w:rsidRPr="003B1B58" w:rsidRDefault="00517FC0" w:rsidP="003B1B5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17FC0" w:rsidRPr="003B1B58" w:rsidRDefault="00517FC0" w:rsidP="003B1B5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3B1B58">
              <w:rPr>
                <w:b/>
              </w:rPr>
              <w:t>Budgeted Contribution to (from) Balances</w:t>
            </w:r>
            <w:r w:rsidRPr="003B1B58">
              <w:rPr>
                <w:b/>
              </w:rPr>
              <w:br/>
              <w:t>£</w:t>
            </w:r>
          </w:p>
        </w:tc>
        <w:tc>
          <w:tcPr>
            <w:tcW w:w="1559" w:type="dxa"/>
          </w:tcPr>
          <w:p w:rsidR="00517FC0" w:rsidRPr="003B1B58" w:rsidRDefault="00517FC0" w:rsidP="003B1B5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3B1B58">
              <w:rPr>
                <w:b/>
              </w:rPr>
              <w:t>Estimated General Fund Balance</w:t>
            </w:r>
            <w:r w:rsidRPr="003B1B58">
              <w:rPr>
                <w:b/>
              </w:rPr>
              <w:br/>
              <w:t>£</w:t>
            </w:r>
          </w:p>
        </w:tc>
        <w:tc>
          <w:tcPr>
            <w:tcW w:w="1327" w:type="dxa"/>
          </w:tcPr>
          <w:p w:rsidR="00517FC0" w:rsidRPr="003B1B58" w:rsidRDefault="00517FC0" w:rsidP="003B1B58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Number of Months Net Expenditure</w:t>
            </w:r>
          </w:p>
        </w:tc>
      </w:tr>
      <w:tr w:rsidR="00517FC0" w:rsidTr="008F15E1">
        <w:trPr>
          <w:trHeight w:val="340"/>
          <w:jc w:val="center"/>
        </w:trPr>
        <w:tc>
          <w:tcPr>
            <w:tcW w:w="1691" w:type="dxa"/>
            <w:vAlign w:val="center"/>
          </w:tcPr>
          <w:p w:rsidR="00517FC0" w:rsidRDefault="006174C1" w:rsidP="008F15E1">
            <w:pPr>
              <w:pStyle w:val="ListParagraph"/>
              <w:ind w:left="0"/>
              <w:contextualSpacing w:val="0"/>
            </w:pPr>
            <w:r>
              <w:t>31 March</w:t>
            </w:r>
            <w:r w:rsidR="00517FC0">
              <w:t xml:space="preserve"> 2014</w:t>
            </w:r>
          </w:p>
        </w:tc>
        <w:tc>
          <w:tcPr>
            <w:tcW w:w="1701" w:type="dxa"/>
            <w:vAlign w:val="center"/>
          </w:tcPr>
          <w:p w:rsidR="00517FC0" w:rsidRDefault="006174C1" w:rsidP="008F15E1">
            <w:pPr>
              <w:pStyle w:val="ListParagraph"/>
              <w:ind w:left="0"/>
              <w:contextualSpacing w:val="0"/>
              <w:jc w:val="right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138,692</w:t>
            </w:r>
          </w:p>
        </w:tc>
        <w:tc>
          <w:tcPr>
            <w:tcW w:w="1327" w:type="dxa"/>
            <w:vAlign w:val="center"/>
          </w:tcPr>
          <w:p w:rsidR="00517FC0" w:rsidRDefault="006174C1" w:rsidP="008F15E1">
            <w:pPr>
              <w:pStyle w:val="ListParagraph"/>
              <w:ind w:left="0"/>
              <w:contextualSpacing w:val="0"/>
              <w:jc w:val="right"/>
            </w:pPr>
            <w:r>
              <w:t>-</w:t>
            </w:r>
          </w:p>
        </w:tc>
      </w:tr>
      <w:tr w:rsidR="00517FC0" w:rsidTr="008F15E1">
        <w:trPr>
          <w:trHeight w:val="340"/>
          <w:jc w:val="center"/>
        </w:trPr>
        <w:tc>
          <w:tcPr>
            <w:tcW w:w="169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</w:pPr>
            <w:r>
              <w:t>31 March 2015</w:t>
            </w:r>
          </w:p>
        </w:tc>
        <w:tc>
          <w:tcPr>
            <w:tcW w:w="170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+1,980</w:t>
            </w:r>
          </w:p>
        </w:tc>
        <w:tc>
          <w:tcPr>
            <w:tcW w:w="1559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140,672</w:t>
            </w:r>
          </w:p>
        </w:tc>
        <w:tc>
          <w:tcPr>
            <w:tcW w:w="1327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7.2</w:t>
            </w:r>
          </w:p>
        </w:tc>
      </w:tr>
      <w:tr w:rsidR="00517FC0" w:rsidTr="008F15E1">
        <w:trPr>
          <w:trHeight w:val="340"/>
          <w:jc w:val="center"/>
        </w:trPr>
        <w:tc>
          <w:tcPr>
            <w:tcW w:w="169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</w:pPr>
            <w:r>
              <w:t>31 March 2016</w:t>
            </w:r>
          </w:p>
        </w:tc>
        <w:tc>
          <w:tcPr>
            <w:tcW w:w="170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-14,033</w:t>
            </w:r>
          </w:p>
        </w:tc>
        <w:tc>
          <w:tcPr>
            <w:tcW w:w="1559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126,639</w:t>
            </w:r>
          </w:p>
        </w:tc>
        <w:tc>
          <w:tcPr>
            <w:tcW w:w="1327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6.0</w:t>
            </w:r>
          </w:p>
        </w:tc>
      </w:tr>
      <w:tr w:rsidR="00517FC0" w:rsidTr="008F15E1">
        <w:trPr>
          <w:trHeight w:val="340"/>
          <w:jc w:val="center"/>
        </w:trPr>
        <w:tc>
          <w:tcPr>
            <w:tcW w:w="169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</w:pPr>
            <w:r>
              <w:t>31 March 2017</w:t>
            </w:r>
          </w:p>
        </w:tc>
        <w:tc>
          <w:tcPr>
            <w:tcW w:w="1701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+71</w:t>
            </w:r>
          </w:p>
        </w:tc>
        <w:tc>
          <w:tcPr>
            <w:tcW w:w="1559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126,710</w:t>
            </w:r>
          </w:p>
        </w:tc>
        <w:tc>
          <w:tcPr>
            <w:tcW w:w="1327" w:type="dxa"/>
            <w:vAlign w:val="center"/>
          </w:tcPr>
          <w:p w:rsidR="00517FC0" w:rsidRDefault="00517FC0" w:rsidP="008F15E1">
            <w:pPr>
              <w:pStyle w:val="ListParagraph"/>
              <w:ind w:left="0"/>
              <w:contextualSpacing w:val="0"/>
              <w:jc w:val="right"/>
            </w:pPr>
            <w:r>
              <w:t>6.3</w:t>
            </w:r>
          </w:p>
        </w:tc>
      </w:tr>
    </w:tbl>
    <w:p w:rsidR="003B1B58" w:rsidRDefault="003B1B58" w:rsidP="003B1B58">
      <w:pPr>
        <w:pStyle w:val="ListParagraph"/>
        <w:ind w:left="714"/>
        <w:contextualSpacing w:val="0"/>
      </w:pPr>
    </w:p>
    <w:p w:rsidR="008475F3" w:rsidRDefault="00937E14" w:rsidP="00D95D85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lastRenderedPageBreak/>
        <w:t xml:space="preserve">I would recommend that a Council the size of Stone Town Council should hold balances equivalent to around six to nine months net expenditure.  It can be seen from the above table that this </w:t>
      </w:r>
      <w:r w:rsidR="00D95D85">
        <w:t>has been achieved throughout the duration of this three year budget, albeit right on the borderline in 2015-16</w:t>
      </w:r>
      <w:r w:rsidR="0040147F">
        <w:t>.</w:t>
      </w:r>
      <w:r w:rsidR="00B4476F">
        <w:t xml:space="preserve">  I am therefore able</w:t>
      </w:r>
      <w:r w:rsidR="00F91585">
        <w:t xml:space="preserve"> to advise the Council that its reserves should be adequate to meet the Council’s needs.</w:t>
      </w:r>
    </w:p>
    <w:p w:rsidR="00F91585" w:rsidRPr="00F91585" w:rsidRDefault="00F91585" w:rsidP="00F91585">
      <w:pPr>
        <w:rPr>
          <w:b/>
          <w:u w:val="single"/>
        </w:rPr>
      </w:pPr>
      <w:r w:rsidRPr="00F91585">
        <w:rPr>
          <w:b/>
          <w:u w:val="single"/>
        </w:rPr>
        <w:t>Council Tax Leaflet</w:t>
      </w:r>
    </w:p>
    <w:p w:rsidR="00F91585" w:rsidRDefault="00F91585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Council also needs to determine the wording to be used on the Council Tax leaflet.</w:t>
      </w:r>
    </w:p>
    <w:p w:rsidR="00BA2FCE" w:rsidRDefault="00D95D85" w:rsidP="0020496A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wording for 2013-14</w:t>
      </w:r>
      <w:r w:rsidR="00BA2FCE">
        <w:t xml:space="preserve"> was:</w:t>
      </w:r>
    </w:p>
    <w:p w:rsidR="00D95D85" w:rsidRDefault="00D95D85" w:rsidP="00D95D85">
      <w:pPr>
        <w:ind w:left="1440"/>
        <w:rPr>
          <w:i/>
        </w:rPr>
      </w:pPr>
      <w:r w:rsidRPr="00BA2FCE">
        <w:rPr>
          <w:i/>
        </w:rPr>
        <w:t xml:space="preserve">“Stone Town Council provides </w:t>
      </w:r>
      <w:r>
        <w:rPr>
          <w:i/>
        </w:rPr>
        <w:t xml:space="preserve">services to the people and town of Stone.  These services include </w:t>
      </w:r>
      <w:r w:rsidRPr="00BA2FCE">
        <w:rPr>
          <w:i/>
        </w:rPr>
        <w:t xml:space="preserve">two community centres, two allotment sites, </w:t>
      </w:r>
      <w:r>
        <w:rPr>
          <w:i/>
        </w:rPr>
        <w:t xml:space="preserve">two free car parks, </w:t>
      </w:r>
      <w:r w:rsidRPr="00BA2FCE">
        <w:rPr>
          <w:i/>
        </w:rPr>
        <w:t xml:space="preserve">Crown Meadow Nature Reserve, </w:t>
      </w:r>
      <w:r>
        <w:rPr>
          <w:i/>
        </w:rPr>
        <w:t xml:space="preserve">the provision of bus shelters and benches, </w:t>
      </w:r>
      <w:r w:rsidRPr="00BA2FCE">
        <w:rPr>
          <w:i/>
        </w:rPr>
        <w:t>the Town Market and Christ</w:t>
      </w:r>
      <w:r>
        <w:rPr>
          <w:i/>
        </w:rPr>
        <w:t>mas l</w:t>
      </w:r>
      <w:r w:rsidRPr="00BA2FCE">
        <w:rPr>
          <w:i/>
        </w:rPr>
        <w:t>ights.  It also provides grants to charitable and community organisations, supports various festivals and works to promote the town and encourage visitors.  At its monthly meet</w:t>
      </w:r>
      <w:r>
        <w:rPr>
          <w:i/>
        </w:rPr>
        <w:t xml:space="preserve">ings the Council </w:t>
      </w:r>
      <w:r w:rsidRPr="00BA2FCE">
        <w:rPr>
          <w:i/>
        </w:rPr>
        <w:t>welcomes questions from the public</w:t>
      </w:r>
      <w:r>
        <w:rPr>
          <w:i/>
        </w:rPr>
        <w:t xml:space="preserve"> and sets aside time to listen and respond</w:t>
      </w:r>
      <w:r w:rsidRPr="00BA2FCE">
        <w:rPr>
          <w:i/>
        </w:rPr>
        <w:t>.  Assistance with public questions will gladly be given by the Council’s staff.”</w:t>
      </w:r>
    </w:p>
    <w:p w:rsidR="00820678" w:rsidRDefault="00820678" w:rsidP="00820678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Members ar</w:t>
      </w:r>
      <w:r w:rsidR="00AD189C">
        <w:t xml:space="preserve">e asked to consider the wording </w:t>
      </w:r>
      <w:r w:rsidR="00D95D85">
        <w:t>for the 2014-15</w:t>
      </w:r>
      <w:r>
        <w:t xml:space="preserve"> leaflet.</w:t>
      </w:r>
    </w:p>
    <w:p w:rsidR="002B7F56" w:rsidRPr="002B7F56" w:rsidRDefault="002B7F56" w:rsidP="002B7F56">
      <w:pPr>
        <w:rPr>
          <w:b/>
          <w:u w:val="single"/>
        </w:rPr>
      </w:pPr>
      <w:r w:rsidRPr="002B7F56">
        <w:rPr>
          <w:b/>
          <w:u w:val="single"/>
        </w:rPr>
        <w:t>Recommendations</w:t>
      </w:r>
    </w:p>
    <w:p w:rsidR="009E5767" w:rsidRDefault="00D42EEE" w:rsidP="009E5767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That the Council </w:t>
      </w:r>
      <w:r w:rsidR="002B7F56">
        <w:t>determine</w:t>
      </w:r>
      <w:r>
        <w:t>s</w:t>
      </w:r>
      <w:r w:rsidR="002B7F56">
        <w:t xml:space="preserve"> its budge</w:t>
      </w:r>
      <w:r w:rsidR="00D95D85">
        <w:t>t for 2014-15</w:t>
      </w:r>
      <w:r>
        <w:t xml:space="preserve"> and the wording for</w:t>
      </w:r>
      <w:r w:rsidR="002B7F56">
        <w:t xml:space="preserve"> the Council Tax leaflet</w:t>
      </w:r>
    </w:p>
    <w:p w:rsidR="009E5767" w:rsidRDefault="009E5767" w:rsidP="009E5767">
      <w:pPr>
        <w:pStyle w:val="ListParagraph"/>
        <w:ind w:left="714"/>
        <w:contextualSpacing w:val="0"/>
        <w:sectPr w:rsidR="009E5767" w:rsidSect="00C378EF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174" w:type="dxa"/>
        <w:jc w:val="center"/>
        <w:tblLook w:val="04A0" w:firstRow="1" w:lastRow="0" w:firstColumn="1" w:lastColumn="0" w:noHBand="0" w:noVBand="1"/>
      </w:tblPr>
      <w:tblGrid>
        <w:gridCol w:w="1082"/>
        <w:gridCol w:w="236"/>
        <w:gridCol w:w="3927"/>
        <w:gridCol w:w="1120"/>
        <w:gridCol w:w="989"/>
        <w:gridCol w:w="940"/>
        <w:gridCol w:w="940"/>
        <w:gridCol w:w="926"/>
        <w:gridCol w:w="14"/>
      </w:tblGrid>
      <w:tr w:rsidR="00F1796E" w:rsidRPr="00F1796E" w:rsidTr="00F1796E">
        <w:trPr>
          <w:gridAfter w:val="1"/>
          <w:wAfter w:w="14" w:type="dxa"/>
          <w:trHeight w:val="601"/>
          <w:jc w:val="center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  <w:lang w:eastAsia="en-GB"/>
              </w:rPr>
              <w:lastRenderedPageBreak/>
              <w:t>Stone Town Council</w:t>
            </w:r>
          </w:p>
        </w:tc>
      </w:tr>
      <w:tr w:rsidR="00F1796E" w:rsidRPr="00F1796E" w:rsidTr="00F1796E">
        <w:trPr>
          <w:gridAfter w:val="1"/>
          <w:wAfter w:w="14" w:type="dxa"/>
          <w:trHeight w:val="300"/>
          <w:jc w:val="center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Proposed Budget 2014-15 to 2016-17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Actual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Budget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Forecast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Budget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Budget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Budget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2012-13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2013-14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2013-14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2014-15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2015-16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2016-17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£     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16,629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Frank Jordan Centre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19,600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17,400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12,300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12,600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13,000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8,409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Stone Station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8,676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11,800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7,900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8,500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-13,310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Town Market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-13,600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-8,400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-8,700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-8,900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-9,200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4,779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Car Parking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6,500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Bus Shelters &amp; Street Furniture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8,120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Street Lighting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Dog &amp; Litter Bins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Joules Clock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9,528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Town Electricity Supply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Building Maintenance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8,554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9,602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Grounds Maintenance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11,200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10,800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4,117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Crown Meadow Improvements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5,890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6,300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-942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Allotments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-900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-800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Environmental Projects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15,368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Christmas Lights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20,700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19,100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18,100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17,600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18,100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Advertising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8,740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Tourism &amp; Town Promotion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7,500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12,700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8,200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8,387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8,200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8,700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104,788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Salaries &amp; Employment Costs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111,100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112,600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119,600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122,500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124,900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3,913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Accommodation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4,100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4,300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4,400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9,630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Insurances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9,500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8,400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8,700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15,463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Administration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21,000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16,500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20,000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Audit &amp; Legal Fees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1,500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Town Council Elections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5,776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24,100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3,300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Allowances - Mayor &amp; Dep</w:t>
            </w:r>
            <w:r w:rsidR="00155D5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uty</w:t>
            </w: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 xml:space="preserve"> Mayor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2,630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2,900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Regalia &amp; Presentations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Civic Dinner &amp; Hospitality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1,000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3,365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Remembrance Sunday &amp; War Memorials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Council Newsletter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2,100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2,100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-19,315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Miscellaneous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-205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-200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-200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-11,461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Concurrent Functions Allowance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-11,461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-11,500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-11,500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F1796E" w:rsidRPr="00F1796E" w:rsidTr="00F1796E">
        <w:trPr>
          <w:trHeight w:val="300"/>
          <w:jc w:val="center"/>
        </w:trPr>
        <w:tc>
          <w:tcPr>
            <w:tcW w:w="108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184,091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246,285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234,300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235,900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253,800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241,700</w:t>
            </w:r>
          </w:p>
        </w:tc>
      </w:tr>
      <w:tr w:rsidR="00F1796E" w:rsidRPr="00F1796E" w:rsidTr="00F1796E">
        <w:trPr>
          <w:trHeight w:val="300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Planned Contribution to (from) Balances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1,980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-14,033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F1796E" w:rsidRPr="00F1796E" w:rsidTr="00F1796E">
        <w:trPr>
          <w:trHeight w:val="300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Precept Required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237,880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239,767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241,771</w:t>
            </w:r>
          </w:p>
        </w:tc>
      </w:tr>
      <w:tr w:rsidR="00F1796E" w:rsidRPr="00F1796E" w:rsidTr="00F1796E">
        <w:trPr>
          <w:trHeight w:val="300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F1796E" w:rsidRPr="00F1796E" w:rsidTr="00F1796E">
        <w:trPr>
          <w:trHeight w:val="286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Band D Council Tax Equivalent</w:t>
            </w:r>
            <w:bookmarkStart w:id="1" w:name="_GoBack"/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£40.09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£40.09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96E" w:rsidRPr="00F1796E" w:rsidRDefault="00F1796E" w:rsidP="00F179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F1796E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£40.09</w:t>
            </w:r>
          </w:p>
        </w:tc>
      </w:tr>
    </w:tbl>
    <w:p w:rsidR="009E5767" w:rsidRPr="00AD189C" w:rsidRDefault="009E5767" w:rsidP="0096656D"/>
    <w:sectPr w:rsidR="009E5767" w:rsidRPr="00AD189C" w:rsidSect="00C378EF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767" w:rsidRDefault="009E5767" w:rsidP="009E5767">
      <w:pPr>
        <w:spacing w:after="0" w:line="240" w:lineRule="auto"/>
      </w:pPr>
      <w:r>
        <w:separator/>
      </w:r>
    </w:p>
  </w:endnote>
  <w:endnote w:type="continuationSeparator" w:id="0">
    <w:p w:rsidR="009E5767" w:rsidRDefault="009E5767" w:rsidP="009E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37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767" w:rsidRDefault="009E57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D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5767" w:rsidRDefault="009E5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767" w:rsidRDefault="009E5767" w:rsidP="009E5767">
      <w:pPr>
        <w:spacing w:after="0" w:line="240" w:lineRule="auto"/>
      </w:pPr>
      <w:r>
        <w:separator/>
      </w:r>
    </w:p>
  </w:footnote>
  <w:footnote w:type="continuationSeparator" w:id="0">
    <w:p w:rsidR="009E5767" w:rsidRDefault="009E5767" w:rsidP="009E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9D" w:rsidRPr="00D8619D" w:rsidRDefault="00D8619D" w:rsidP="00D8619D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9D" w:rsidRPr="00D8619D" w:rsidRDefault="00D8619D" w:rsidP="00D8619D">
    <w:pPr>
      <w:pStyle w:val="Header"/>
      <w:jc w:val="right"/>
      <w:rPr>
        <w:b/>
      </w:rPr>
    </w:pPr>
    <w:r w:rsidRPr="00D8619D">
      <w:rPr>
        <w:b/>
      </w:rPr>
      <w:t>Appendix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6A1"/>
    <w:multiLevelType w:val="hybridMultilevel"/>
    <w:tmpl w:val="F604B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4965"/>
    <w:multiLevelType w:val="hybridMultilevel"/>
    <w:tmpl w:val="7B504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373AE"/>
    <w:multiLevelType w:val="hybridMultilevel"/>
    <w:tmpl w:val="44F0208E"/>
    <w:lvl w:ilvl="0" w:tplc="0B8E81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AB6"/>
    <w:multiLevelType w:val="hybridMultilevel"/>
    <w:tmpl w:val="1B04A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2B"/>
    <w:rsid w:val="0002321D"/>
    <w:rsid w:val="00060428"/>
    <w:rsid w:val="00067B78"/>
    <w:rsid w:val="00071CB5"/>
    <w:rsid w:val="0009662B"/>
    <w:rsid w:val="000F4928"/>
    <w:rsid w:val="0010030C"/>
    <w:rsid w:val="001340C5"/>
    <w:rsid w:val="00155D5B"/>
    <w:rsid w:val="0019169A"/>
    <w:rsid w:val="001C5442"/>
    <w:rsid w:val="0020496A"/>
    <w:rsid w:val="0025006B"/>
    <w:rsid w:val="00280E16"/>
    <w:rsid w:val="002B7F56"/>
    <w:rsid w:val="002C0583"/>
    <w:rsid w:val="00316C37"/>
    <w:rsid w:val="003827AD"/>
    <w:rsid w:val="003B1B58"/>
    <w:rsid w:val="003C586A"/>
    <w:rsid w:val="0040147F"/>
    <w:rsid w:val="00485A84"/>
    <w:rsid w:val="004F64FA"/>
    <w:rsid w:val="00517FC0"/>
    <w:rsid w:val="005401F3"/>
    <w:rsid w:val="00561467"/>
    <w:rsid w:val="005B6135"/>
    <w:rsid w:val="005F1F9E"/>
    <w:rsid w:val="006174C1"/>
    <w:rsid w:val="00622B32"/>
    <w:rsid w:val="00676216"/>
    <w:rsid w:val="006B5607"/>
    <w:rsid w:val="007A0832"/>
    <w:rsid w:val="007E15AB"/>
    <w:rsid w:val="007F69D9"/>
    <w:rsid w:val="00820678"/>
    <w:rsid w:val="00827C22"/>
    <w:rsid w:val="008475F3"/>
    <w:rsid w:val="00866378"/>
    <w:rsid w:val="00874082"/>
    <w:rsid w:val="00875B35"/>
    <w:rsid w:val="008A6174"/>
    <w:rsid w:val="008F15E1"/>
    <w:rsid w:val="009038E4"/>
    <w:rsid w:val="00937E14"/>
    <w:rsid w:val="00942353"/>
    <w:rsid w:val="00946CC1"/>
    <w:rsid w:val="0096656D"/>
    <w:rsid w:val="009D5A3B"/>
    <w:rsid w:val="009E5767"/>
    <w:rsid w:val="00A4196E"/>
    <w:rsid w:val="00A72C3C"/>
    <w:rsid w:val="00AD189C"/>
    <w:rsid w:val="00AD3E02"/>
    <w:rsid w:val="00AE2576"/>
    <w:rsid w:val="00B4270E"/>
    <w:rsid w:val="00B4476F"/>
    <w:rsid w:val="00B707DD"/>
    <w:rsid w:val="00BA2FCE"/>
    <w:rsid w:val="00BC5E23"/>
    <w:rsid w:val="00C20C2B"/>
    <w:rsid w:val="00C23D73"/>
    <w:rsid w:val="00C24C0F"/>
    <w:rsid w:val="00C36634"/>
    <w:rsid w:val="00C378EF"/>
    <w:rsid w:val="00C46359"/>
    <w:rsid w:val="00C865CB"/>
    <w:rsid w:val="00D00F49"/>
    <w:rsid w:val="00D142B9"/>
    <w:rsid w:val="00D42EEE"/>
    <w:rsid w:val="00D8619D"/>
    <w:rsid w:val="00D95D85"/>
    <w:rsid w:val="00DF7572"/>
    <w:rsid w:val="00E03224"/>
    <w:rsid w:val="00E65837"/>
    <w:rsid w:val="00E846F6"/>
    <w:rsid w:val="00F1796E"/>
    <w:rsid w:val="00F438A3"/>
    <w:rsid w:val="00F43C08"/>
    <w:rsid w:val="00F47619"/>
    <w:rsid w:val="00F91585"/>
    <w:rsid w:val="00FB0F0E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BA6C2E5-E059-4D4E-8CA4-CEE53160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767"/>
  </w:style>
  <w:style w:type="paragraph" w:styleId="Footer">
    <w:name w:val="footer"/>
    <w:basedOn w:val="Normal"/>
    <w:link w:val="FooterChar"/>
    <w:uiPriority w:val="99"/>
    <w:unhideWhenUsed/>
    <w:rsid w:val="009E5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767"/>
  </w:style>
  <w:style w:type="table" w:styleId="TableGrid">
    <w:name w:val="Table Grid"/>
    <w:basedOn w:val="TableNormal"/>
    <w:uiPriority w:val="59"/>
    <w:rsid w:val="00D0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07411065C574F97604DC19EFD07F8" ma:contentTypeVersion="0" ma:contentTypeDescription="Create a new document." ma:contentTypeScope="" ma:versionID="084c2fefa375489d2496febfb00ee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b4217c3f3ee55291eb34a1f537d9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10CA-3CDB-4391-9855-6DB06822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0A321-8E73-4534-89AD-6E7B023CC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7143D-0310-459C-8C41-641F9500AC4A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93970DF-6BB2-4FFF-8EA6-C054F7BC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8</cp:revision>
  <cp:lastPrinted>2014-02-05T09:57:00Z</cp:lastPrinted>
  <dcterms:created xsi:type="dcterms:W3CDTF">2014-01-29T16:32:00Z</dcterms:created>
  <dcterms:modified xsi:type="dcterms:W3CDTF">2014-02-05T11:06:00Z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0x01010058407411065C574F97604DC19EFD07F8</vt:lpwstr>
  </property>
  <property fmtid="{D5CDD505-2E9C-101B-9397-08002B2CF9AE}" pid="3" name="IsMyDocuments">
    <vt:bool>true</vt:bool>
  </property>
</Properties>
</file>